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22F14">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rPr>
        <w:t>学院饮水机场地租赁权</w:t>
      </w:r>
      <w:r>
        <w:rPr>
          <w:rFonts w:hint="eastAsia" w:ascii="黑体" w:hAnsi="黑体" w:eastAsia="黑体" w:cs="黑体"/>
          <w:b/>
          <w:bCs/>
          <w:sz w:val="32"/>
          <w:szCs w:val="32"/>
          <w:lang w:val="en-US" w:eastAsia="zh-CN"/>
        </w:rPr>
        <w:t>服务要求及设备技术参数要求</w:t>
      </w:r>
    </w:p>
    <w:p w14:paraId="2CD2E2A3">
      <w:pPr>
        <w:pStyle w:val="4"/>
        <w:keepNext w:val="0"/>
        <w:keepLines w:val="0"/>
        <w:widowControl/>
        <w:suppressLineNumbers w:val="0"/>
        <w:rPr>
          <w:rFonts w:hint="default" w:ascii="仿宋_GB2312" w:hAnsi="宋体" w:eastAsia="仿宋_GB2312" w:cs="仿宋_GB2312"/>
          <w:color w:val="333333"/>
          <w:kern w:val="2"/>
          <w:sz w:val="28"/>
          <w:szCs w:val="28"/>
          <w:shd w:val="clear" w:color="auto" w:fill="FFFFFF"/>
          <w:lang w:val="en-US" w:eastAsia="zh-CN" w:bidi="ar-SA"/>
        </w:rPr>
      </w:pPr>
      <w:r>
        <w:rPr>
          <w:rFonts w:hint="eastAsia" w:ascii="仿宋_GB2312" w:hAnsi="宋体" w:eastAsia="仿宋_GB2312" w:cs="仿宋_GB2312"/>
          <w:color w:val="333333"/>
          <w:kern w:val="2"/>
          <w:sz w:val="28"/>
          <w:szCs w:val="28"/>
          <w:shd w:val="clear" w:color="auto" w:fill="FFFFFF"/>
          <w:lang w:val="en-US" w:eastAsia="zh-CN" w:bidi="ar-SA"/>
        </w:rPr>
        <w:t>1.</w:t>
      </w:r>
      <w:r>
        <w:rPr>
          <w:rFonts w:hint="default" w:ascii="仿宋_GB2312" w:hAnsi="宋体" w:eastAsia="仿宋_GB2312" w:cs="仿宋_GB2312"/>
          <w:color w:val="333333"/>
          <w:kern w:val="2"/>
          <w:sz w:val="28"/>
          <w:szCs w:val="28"/>
          <w:shd w:val="clear" w:color="auto" w:fill="FFFFFF"/>
          <w:lang w:val="en-US" w:eastAsia="zh-CN" w:bidi="ar-SA"/>
        </w:rPr>
        <w:t>服务要求：</w:t>
      </w:r>
    </w:p>
    <w:p w14:paraId="3CE50E35">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（1）本项目不接受联合体形式，竞买人成交后不得将标的转借、转租、分租。</w:t>
      </w:r>
    </w:p>
    <w:p w14:paraId="711FC941">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（2）饮水机投放的设备要求：政府部门颁发的饮用水卫生安全产品卫生许可。</w:t>
      </w:r>
    </w:p>
    <w:p w14:paraId="4823433E">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（3）直饮水设备安装数量（不低于）23台，安装位置：学生宿舍楼、办公楼、行政楼、教学楼。</w:t>
      </w:r>
    </w:p>
    <w:p w14:paraId="7A5F97AB">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（4）成交后需每半年提交一份有相关资质检测机构出具的水质检测报告。</w:t>
      </w:r>
    </w:p>
    <w:p w14:paraId="28F56CC1">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（5）直饮水限价：每升水开水的单价不得高于0.3元；每升水温水的单价不得高于0.25元。教职工饮水免费。水电费由竞得方自理、并与学校单独核算。</w:t>
      </w:r>
    </w:p>
    <w:p w14:paraId="207D3354">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（6）承租方要在设备进场时根据设备安全使用要求改造完善用电线路和设备。防止线路超负荷和漏电等安全事故。</w:t>
      </w:r>
    </w:p>
    <w:p w14:paraId="4E6B6DD2">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7）运营方必须有稳定、强有力的维修技术队伍，负责日常设备系统维护、系统各部位的维修检修，保证项目正常运行。客服电话24小时服务，接到电话后，5分钟内进行反馈，维修人员15分钟内赶到现场处理，一般故障不超过1小时修复，重大故障不超过24小时修复。</w:t>
      </w:r>
    </w:p>
    <w:p w14:paraId="059CE3AC">
      <w:pPr>
        <w:pStyle w:val="4"/>
        <w:keepNext w:val="0"/>
        <w:keepLines w:val="0"/>
        <w:widowControl/>
        <w:suppressLineNumbers w:val="0"/>
        <w:rPr>
          <w:rFonts w:hint="default" w:ascii="仿宋_GB2312" w:hAnsi="宋体" w:eastAsia="仿宋_GB2312" w:cs="仿宋_GB2312"/>
          <w:color w:val="333333"/>
          <w:kern w:val="2"/>
          <w:sz w:val="28"/>
          <w:szCs w:val="28"/>
          <w:shd w:val="clear" w:color="auto" w:fill="FFFFFF"/>
          <w:lang w:val="en-US" w:eastAsia="zh-CN" w:bidi="ar-SA"/>
        </w:rPr>
      </w:pPr>
      <w:bookmarkStart w:id="0" w:name="_GoBack"/>
      <w:bookmarkEnd w:id="0"/>
      <w:r>
        <w:rPr>
          <w:rFonts w:hint="eastAsia" w:ascii="仿宋_GB2312" w:hAnsi="宋体" w:eastAsia="仿宋_GB2312" w:cs="仿宋_GB2312"/>
          <w:color w:val="333333"/>
          <w:kern w:val="2"/>
          <w:sz w:val="28"/>
          <w:szCs w:val="28"/>
          <w:shd w:val="clear" w:color="auto" w:fill="FFFFFF"/>
          <w:lang w:val="en-US" w:eastAsia="zh-CN" w:bidi="ar-SA"/>
        </w:rPr>
        <w:t>2</w:t>
      </w:r>
      <w:r>
        <w:rPr>
          <w:rFonts w:hint="default" w:ascii="仿宋_GB2312" w:hAnsi="宋体" w:eastAsia="仿宋_GB2312" w:cs="仿宋_GB2312"/>
          <w:color w:val="333333"/>
          <w:kern w:val="2"/>
          <w:sz w:val="28"/>
          <w:szCs w:val="28"/>
          <w:shd w:val="clear" w:color="auto" w:fill="FFFFFF"/>
          <w:lang w:val="en-US" w:eastAsia="zh-CN" w:bidi="ar-SA"/>
        </w:rPr>
        <w:t>.直饮水设备技术参数要求</w:t>
      </w:r>
    </w:p>
    <w:p w14:paraId="1BA5D45C">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(1)电源功率：380V50Hz，9KW。</w:t>
      </w:r>
    </w:p>
    <w:p w14:paraId="223027A0">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(2)加热胆容量≥90L，提供所投产品整机涉及饮用水卫生安全产品卫生许可批件予以佐证；</w:t>
      </w:r>
    </w:p>
    <w:p w14:paraId="002D3808">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(3)尺寸：≥800*500*1900mm；开水水嘴与水槽间距≥390mm，可供暖瓶放置打水；</w:t>
      </w:r>
    </w:p>
    <w:p w14:paraId="711BBAE5">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(4)制水量：开水≥90L/H，净化直饮水≥60L/H；</w:t>
      </w:r>
    </w:p>
    <w:p w14:paraId="01A4B15B">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(5)箱体不锈钢材质，面板、门板不锈钢黑钛板，整机外观转角圆弧设计，无棱边和尖角，防止撞伤；下箱体前开门方式，方便维修维护及滤芯更换；</w:t>
      </w:r>
    </w:p>
    <w:p w14:paraId="1E0960B1">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(6)水槽304#不锈钢，具有防溅水结构设计，防止开水溅起烫伤，漏渣防堵，提供国家认可第三方检测机构出具的检验（测）报告扫描件；</w:t>
      </w:r>
    </w:p>
    <w:p w14:paraId="437EE664">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(7)内胆材质釆用食品级304#不锈钢，提供投标产品内胆对应容量的体现不锈钢材质的内胆食品接触产品安全认证证书复印件；</w:t>
      </w:r>
    </w:p>
    <w:p w14:paraId="42E778BD">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(8)过滤配置：五级或以上RO反渗透（PP棉+碳棒滤芯+PP棉+RO反渗透膜+后置颗粒活性炭或炭棒）+紫外线杀菌器（净水流量≥2L/min)，净水流量≥1.05L/m，额定净水总量≥5m³，钢制储水桶≥20L，提供所投产品对应型号一致的整机涉及饮用水卫生安全产品卫生许可批件含附件复印件佐证（申请单位与实际生产企业需一致）；</w:t>
      </w:r>
    </w:p>
    <w:p w14:paraId="737A09F8">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(9)提供PP棉滤芯、滤壳具有CMA、CNAS标识的红外、差热、热重的检测报告复印件,报告中需体现检测曲线图（申请人为所投产品制造商）</w:t>
      </w:r>
    </w:p>
    <w:p w14:paraId="18BF1224">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(10)具有反冲洗系统，提供品制造商获得国家质检、科技或知识产权部门颁发的证明文件复印件或国家认可第三方检测机构出具的检验（测）报告扫描件；</w:t>
      </w:r>
    </w:p>
    <w:p w14:paraId="75BAEF8D">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(11)所采用增压泵噪声≦45db，提供具有CMA、CNAS标识的符合GB/T 4214.1-2017标准要求的检验（测）报告扫描件（申请人为所投产品制造商）；</w:t>
      </w:r>
    </w:p>
    <w:p w14:paraId="45F39570">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(12)釆用微电脑智能控制技术，带有时间调控功能，可根据用户或单位的作息时间定时开机和关机，且故障自动诊断并能显示相应的故障代码或文字提示，不小于5寸数码显示屏，可显示时间、星期、开水温度、滤芯使用情况、水位状态、可饮用状态、以及滤芯更换提醒等功能等；所投产品具有具有滤芯防伪识别功能，安装或更换滤芯时通过后台管理系统进行激活或重置，确保所使用滤芯为原厂滤芯，保障饮用水安全健康；</w:t>
      </w:r>
    </w:p>
    <w:p w14:paraId="7D37A2A8">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(13)所投产品具有电气盒，提供品制造商获得国家质检、科技或知识产权部门颁发的证明文件扫描件或国家认可第三方检测机构出具的检验（测）报告扫描件；电气盒采用ABS材质一次注塑成型，外置嵌入式安装方式电气盒技术，控制电器原件集成安装，电路控制与涉水部件分离，以防漏水时导致漏电触电。</w:t>
      </w:r>
    </w:p>
    <w:p w14:paraId="1606F167">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(14)加热技术：步进式加热技术，提供品制造商获得国家质检、科技或知识产权部门颁发的证明文件复印件或国家认可第三方检测机构出具的检验（测）报告扫描件；</w:t>
      </w:r>
    </w:p>
    <w:p w14:paraId="1C2A689E">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(15)所投产品电源适配器电压≤24V、≤3.0A，提供产品制造商的电源适配器具有CMA、CNAS标识的判定检验通过项≥215项合格的检验（测）报告，报告中需明确列明所检合格项（申请人为所投产品制造商）；</w:t>
      </w:r>
    </w:p>
    <w:p w14:paraId="538D681A">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(16)涉水部件内胆、波纹管、发热管、电极、水嘴、三通、电磁阀、硬管符合4806.9-2023、滤壳、净水器配件符合4806.7-2023、压力桶、硅胶管、密封垫符合4806.11相关标准要求，提供具有CMA、CNAS标识的检测报告复印件（检测报告中需体现投标产品型号）</w:t>
      </w:r>
    </w:p>
    <w:p w14:paraId="10D1E46A">
      <w:pPr>
        <w:pStyle w:val="4"/>
        <w:keepNext w:val="0"/>
        <w:keepLines w:val="0"/>
        <w:widowControl/>
        <w:suppressLineNumbers w:val="0"/>
        <w:ind w:left="0" w:firstLine="600"/>
        <w:rPr>
          <w:rFonts w:hint="default" w:ascii="仿宋_GB2312" w:hAnsi="宋体" w:eastAsia="仿宋_GB2312" w:cs="仿宋_GB2312"/>
          <w:color w:val="333333"/>
          <w:kern w:val="2"/>
          <w:sz w:val="28"/>
          <w:szCs w:val="28"/>
          <w:shd w:val="clear" w:color="auto" w:fill="FFFFFF"/>
          <w:lang w:val="en-US" w:eastAsia="zh-CN" w:bidi="ar-SA"/>
        </w:rPr>
      </w:pPr>
      <w:r>
        <w:rPr>
          <w:rFonts w:hint="default" w:ascii="仿宋_GB2312" w:hAnsi="宋体" w:eastAsia="仿宋_GB2312" w:cs="仿宋_GB2312"/>
          <w:color w:val="333333"/>
          <w:kern w:val="2"/>
          <w:sz w:val="28"/>
          <w:szCs w:val="28"/>
          <w:shd w:val="clear" w:color="auto" w:fill="FFFFFF"/>
          <w:lang w:val="en-US" w:eastAsia="zh-CN" w:bidi="ar-SA"/>
        </w:rPr>
        <w:t>(17)卡控控制出水，计费水控系统需支持刷卡、微信或支付宝支付，智能水控设备具有漏电保护功能、短路保护功能，能在出现漏电及短路后，自动关闭阀门进行保护，具有防雷击功能。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864D10"/>
    <w:rsid w:val="59864D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adjustRightInd w:val="0"/>
      <w:spacing w:line="360" w:lineRule="atLeast"/>
      <w:textAlignment w:val="baseline"/>
    </w:pPr>
    <w:rPr>
      <w:rFonts w:ascii="Times New Roman" w:hAnsi="Times New Roman" w:eastAsia="宋体" w:cs="Times New Roman"/>
      <w:sz w:val="32"/>
      <w:szCs w:val="20"/>
    </w:rPr>
  </w:style>
  <w:style w:type="paragraph" w:styleId="3">
    <w:name w:val="Subtitle"/>
    <w:basedOn w:val="1"/>
    <w:next w:val="1"/>
    <w:qFormat/>
    <w:uiPriority w:val="0"/>
    <w:pPr>
      <w:adjustRightInd w:val="0"/>
      <w:snapToGrid w:val="0"/>
      <w:spacing w:line="360" w:lineRule="auto"/>
      <w:jc w:val="left"/>
      <w:outlineLvl w:val="1"/>
    </w:pPr>
    <w:rPr>
      <w:rFonts w:ascii="Cambria" w:hAnsi="Cambria"/>
      <w:b/>
      <w:bCs/>
      <w:kern w:val="28"/>
      <w:szCs w:val="32"/>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2026-08-19T10:59:00Z</dcterms:created>
  <dc:creator>苏鹏</dc:creator>
  <cp:lastModifiedBy>苏鹏</cp:lastModifiedBy>
  <dcterms:modified xsi:type="dcterms:W3CDTF">2026-08-19T11:03:31Z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11D635011EF44C8EA6ED19C516973107_11</vt:lpwstr>
  </property>
  <property fmtid="{D5CDD505-2E9C-101B-9397-08002B2CF9AE}" pid="4" name="KSOTemplateDocerSaveRecord">
    <vt:lpwstr>eyJoZGlkIjoiYzY5YzFkNmZlMzhhMDQ5MGUzM2JlOGUyZDYxMzAzYjgiLCJ1c2VySWQiOiIxNTU5NDQ2ODM2In0=</vt:lpwstr>
  </property>
</Properties>
</file>