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C66D1E">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资产瑕疵情况说明</w:t>
      </w:r>
    </w:p>
    <w:p w14:paraId="64D95AE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val="en-US" w:eastAsia="zh-CN"/>
        </w:rPr>
      </w:pPr>
    </w:p>
    <w:p w14:paraId="355248D3">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现将本次拟拍卖资产瑕疵事项披露如下，所有标的均按现状拍卖，竞买人应充分知晓标的全部风险，自行尽调核实相关情况：</w:t>
      </w:r>
    </w:p>
    <w:p w14:paraId="70BA1C0A">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1.唐山市庆义房地产开发有限公司股权（含商务金融用地7030.4㎡</w:t>
      </w:r>
      <w:bookmarkStart w:id="0" w:name="_GoBack"/>
      <w:bookmarkEnd w:id="0"/>
      <w:r>
        <w:rPr>
          <w:rFonts w:hint="eastAsia" w:ascii="仿宋" w:hAnsi="仿宋" w:eastAsia="仿宋" w:cs="仿宋"/>
          <w:b/>
          <w:bCs/>
          <w:sz w:val="32"/>
          <w:szCs w:val="32"/>
          <w:lang w:val="en-US" w:eastAsia="zh-CN"/>
        </w:rPr>
        <w:t>）</w:t>
      </w:r>
    </w:p>
    <w:p w14:paraId="69836F2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标的持有土地使用权证，但属地自然资源和规划部门暂查询不到该土地规划指标相关资料，土地证记载容积率为</w:t>
      </w:r>
      <w:r>
        <w:rPr>
          <w:rFonts w:hint="eastAsia" w:ascii="仿宋" w:hAnsi="仿宋" w:eastAsia="仿宋" w:cs="仿宋"/>
          <w:b w:val="0"/>
          <w:bCs w:val="0"/>
          <w:sz w:val="32"/>
          <w:szCs w:val="32"/>
          <w:lang w:val="en-US" w:eastAsia="zh-CN"/>
        </w:rPr>
        <w:t>5.6。</w:t>
      </w:r>
      <w:r>
        <w:rPr>
          <w:rFonts w:hint="eastAsia" w:ascii="仿宋" w:hAnsi="仿宋" w:eastAsia="仿宋" w:cs="仿宋"/>
          <w:sz w:val="32"/>
          <w:szCs w:val="32"/>
          <w:lang w:val="en-US" w:eastAsia="zh-CN"/>
        </w:rPr>
        <w:t>竞买人须自行向主管部门核实土地规划、开发建设等全部相关条件及政策要求，标的资产的交付、办证不能等风险及产生的相关费用，均由买受人自行承担。</w:t>
      </w:r>
    </w:p>
    <w:p w14:paraId="7C7A7817">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2.冀B30ZS9丰田皇冠机动车1辆、冀B65V6U丰田汉兰达机动车1辆</w:t>
      </w:r>
    </w:p>
    <w:p w14:paraId="094F931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车辆存放于唐山城发大厦地下车库，车辆均已超过年检有效期。拍卖成交后，由买受人凭法院出具的法律文书及拍卖成交相关手续，自行办理车辆年检等全部手续，标的资产的交付、办证不能等风险及产生的相关费用，均由买受人自行承担。</w:t>
      </w:r>
    </w:p>
    <w:p w14:paraId="02D9DEB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3.曹妃甸区希望路南堡畅夏园1号、8号地上车库</w:t>
      </w:r>
    </w:p>
    <w:p w14:paraId="3675178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标的坐落于南堡开发区城中村，为自建地上车库，无不动产产权登记手续。竞买人应当充分了解无产权标的的占有、使用及处置风险，标的资产的交付、办证不能等风险及产生的相关费用，均由买受人自行承担。</w:t>
      </w:r>
    </w:p>
    <w:p w14:paraId="07CFB746">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4.天源骏景房产1套及3个车位车位</w:t>
      </w:r>
    </w:p>
    <w:p w14:paraId="47CD1CA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对应房产缺失原始购置档案资料，税务机关无计税依据，无法完成增值税纳税测算。拍卖成交后，由买受人持法院法律文书及拍卖相关手续，自行对接房地产开发企业及各行政主管部门补办相关手续，标的资产的交付、办证不能等风险及产生的相关费用，均由买受人自行承担。</w:t>
      </w:r>
    </w:p>
    <w:p w14:paraId="65209B4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5.唐山古冶区弘成名居1-1-601、1-1-1001、1-5-401三套房产</w:t>
      </w:r>
    </w:p>
    <w:p w14:paraId="1F12E079">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标的房产小区整体暂未办理不动产权利证书；其中1-1-1001房产现由涉案家属占有使用。拍卖成交后，由买受人凭法院法律文书及拍卖手续自行向相关部门申请办理不动产登记手续；标的清场交付、办证不能等风险及产生的相关费用，均由买受人自行承担。</w:t>
      </w:r>
    </w:p>
    <w:p w14:paraId="507727F0">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6.唐山宏业加油站股权</w:t>
      </w:r>
    </w:p>
    <w:p w14:paraId="03AB8204">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加油站相关经营资质已超出年检有效期，拍卖成交后，买受人需持法院法律文书及拍卖成交手续自行前往主管部门办理资质年检、续期等相关手续；站内加油设备存在损坏情形，设备现状以现场实际为准，由竞买人自行查验评估。该加油站为个人独资企业，不得直接过户至有限责任公司名下，企业主体变更、交付、资质办理等全部风险由买受人自行承担。</w:t>
      </w:r>
    </w:p>
    <w:p w14:paraId="2B0A3EAF">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7.曹妃甸文馨花园永丰路11套门市楼</w:t>
      </w:r>
    </w:p>
    <w:p w14:paraId="36F7E70C">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标的当前处于唐山市中级人民法院查封状态，拍卖成交后可配合办理查封解除手续；标的缺失原始交易合同及档案资料。拍卖成交后，由买受人持法院法律文书及拍卖相关手续自行前往各主管部门补办档案及不动产登记等手续，标的资产的交付、办证不能等风险及产生的相关费用，均由买受人自行承担。</w:t>
      </w:r>
    </w:p>
    <w:p w14:paraId="27D5EE69">
      <w:pPr>
        <w:keepNext w:val="0"/>
        <w:keepLines w:val="0"/>
        <w:pageBreakBefore w:val="0"/>
        <w:widowControl w:val="0"/>
        <w:numPr>
          <w:ilvl w:val="0"/>
          <w:numId w:val="0"/>
        </w:numPr>
        <w:kinsoku/>
        <w:wordWrap/>
        <w:overflowPunct/>
        <w:topLinePunct w:val="0"/>
        <w:autoSpaceDE/>
        <w:autoSpaceDN/>
        <w:bidi w:val="0"/>
        <w:adjustRightInd/>
        <w:snapToGrid/>
        <w:spacing w:line="570" w:lineRule="exact"/>
        <w:textAlignment w:val="auto"/>
        <w:rPr>
          <w:rFonts w:hint="eastAsia" w:ascii="仿宋" w:hAnsi="仿宋" w:eastAsia="仿宋" w:cs="仿宋"/>
          <w:sz w:val="32"/>
          <w:szCs w:val="32"/>
          <w:lang w:eastAsia="zh-CN"/>
        </w:rPr>
      </w:pPr>
    </w:p>
    <w:p w14:paraId="4D06A9AB">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特别提示：以上仅为已知瑕疵披露，不代表标的不存在其他未发现瑕疵。竞买人务必于拍卖前自行实地踏勘、向各行政主管部门咨询核实标的权属、规划、办证、税费、使用限制等全部情况，充分评估竞买风险。标的按现状拍卖，标的资产的交付、办证不能等风险及产生的相关费用，均由买受人自行承担，成交后委托人及拍卖机构不承担标的瑕疵担保责任。</w:t>
      </w:r>
    </w:p>
    <w:p w14:paraId="5938964B">
      <w:pPr>
        <w:keepNext w:val="0"/>
        <w:keepLines w:val="0"/>
        <w:pageBreakBefore w:val="0"/>
        <w:widowControl w:val="0"/>
        <w:numPr>
          <w:ilvl w:val="0"/>
          <w:numId w:val="0"/>
        </w:numPr>
        <w:kinsoku/>
        <w:wordWrap/>
        <w:overflowPunct/>
        <w:topLinePunct w:val="0"/>
        <w:autoSpaceDE/>
        <w:autoSpaceDN/>
        <w:bidi w:val="0"/>
        <w:adjustRightInd/>
        <w:snapToGrid/>
        <w:spacing w:line="570" w:lineRule="exact"/>
        <w:textAlignment w:val="auto"/>
        <w:rPr>
          <w:rFonts w:hint="default" w:ascii="仿宋" w:hAnsi="仿宋" w:eastAsia="仿宋" w:cs="仿宋"/>
          <w:b/>
          <w:bCs/>
          <w:sz w:val="32"/>
          <w:szCs w:val="32"/>
          <w:lang w:val="en-US" w:eastAsia="zh-CN"/>
        </w:rPr>
      </w:pPr>
    </w:p>
    <w:p w14:paraId="62636B6A"/>
    <w:p w14:paraId="5A645793"/>
    <w:p w14:paraId="629C4DA9"/>
    <w:p w14:paraId="6A7FB808"/>
    <w:p w14:paraId="19556653">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jc w:val="right"/>
        <w:textAlignment w:val="auto"/>
        <w:rPr>
          <w:rFonts w:hint="default"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E7432"/>
    <w:rsid w:val="14FB5596"/>
    <w:rsid w:val="17D80CE7"/>
    <w:rsid w:val="40D762E3"/>
    <w:rsid w:val="415F764C"/>
    <w:rsid w:val="59166545"/>
    <w:rsid w:val="6B5E166E"/>
    <w:rsid w:val="70591D34"/>
    <w:rsid w:val="7AF32D2B"/>
    <w:rsid w:val="7CE316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1199</Words>
  <Characters>1246</Characters>
  <Lines>0</Lines>
  <Paragraphs>0</Paragraphs>
  <TotalTime>25</TotalTime>
  <ScaleCrop>false</ScaleCrop>
  <LinksUpToDate>false</LinksUpToDate>
  <CharactersWithSpaces>1246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2026-08-10T07:44:00Z</dcterms:created>
  <dc:creator>51716</dc:creator>
  <cp:lastModifiedBy>张义广</cp:lastModifiedBy>
  <dcterms:modified xsi:type="dcterms:W3CDTF">2026-08-19T07:35:29Z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eyJoZGlkIjoiYmZhM2FkMGRmMGViYzEzMDc5NzBkZjBlMDc2NWZiZTMiLCJ1c2VySWQiOiIxNTU5NTE3ODI2In0=</vt:lpwstr>
  </property>
  <property fmtid="{D5CDD505-2E9C-101B-9397-08002B2CF9AE}" pid="4" name="ICV">
    <vt:lpwstr>7201963E6EDF4654A097456966F72863_13</vt:lpwstr>
  </property>
</Properties>
</file>